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1"/>
        <w:jc w:val="right"/>
        <w:rPr>
          <w:highlight w:val="none"/>
          <w:shd w:val="clear" w:color="auto" w:fill="auto"/>
        </w:rPr>
      </w:pPr>
      <w:r>
        <w:rPr>
          <w:iCs/>
          <w:sz w:val="26"/>
          <w:szCs w:val="26"/>
          <w:shd w:val="clear" w:color="auto" w:fill="auto"/>
        </w:rPr>
        <w:t xml:space="preserve">Приложение № 4 </w:t>
      </w:r>
      <w:r>
        <w:rPr>
          <w:highlight w:val="none"/>
          <w:shd w:val="clear" w:color="auto" w:fill="auto"/>
        </w:rPr>
      </w:r>
    </w:p>
    <w:p>
      <w:pPr>
        <w:pStyle w:val="671"/>
        <w:jc w:val="right"/>
        <w:rPr>
          <w:highlight w:val="none"/>
          <w:shd w:val="clear" w:color="auto" w:fill="auto"/>
        </w:rPr>
      </w:pPr>
      <w:r>
        <w:rPr>
          <w:iCs/>
          <w:sz w:val="26"/>
          <w:szCs w:val="26"/>
          <w:shd w:val="clear" w:color="auto" w:fill="auto"/>
        </w:rPr>
        <w:t xml:space="preserve">к Договору теплоснабжения  в горячей воде </w:t>
      </w:r>
      <w:r>
        <w:rPr>
          <w:highlight w:val="none"/>
          <w:shd w:val="clear" w:color="auto" w:fill="auto"/>
        </w:rPr>
      </w:r>
    </w:p>
    <w:p>
      <w:pPr>
        <w:pStyle w:val="671"/>
        <w:jc w:val="right"/>
        <w:rPr>
          <w:highlight w:val="none"/>
          <w:shd w:val="clear" w:color="auto" w:fill="auto"/>
        </w:rPr>
      </w:pPr>
      <w:r>
        <w:rPr>
          <w:iCs/>
          <w:sz w:val="26"/>
          <w:szCs w:val="26"/>
          <w:shd w:val="clear" w:color="auto" w:fill="auto"/>
        </w:rPr>
        <w:t xml:space="preserve">№</w:t>
      </w:r>
      <w:r>
        <w:rPr>
          <w:iCs/>
          <w:sz w:val="26"/>
          <w:szCs w:val="26"/>
          <w:shd w:val="clear" w:color="auto" w:fill="auto"/>
        </w:rPr>
        <w:t xml:space="preserve">_____ от «___»_________________</w:t>
      </w:r>
      <w:r>
        <w:rPr>
          <w:highlight w:val="none"/>
          <w:shd w:val="clear" w:color="auto" w:fill="auto"/>
        </w:rPr>
      </w:r>
    </w:p>
    <w:p>
      <w:pPr>
        <w:pStyle w:val="662"/>
        <w:tabs>
          <w:tab w:val="clear" w:pos="720" w:leader="none"/>
          <w:tab w:val="left" w:pos="2410" w:leader="none"/>
        </w:tabs>
        <w:rPr>
          <w:b w:val="0"/>
          <w:i/>
          <w:iCs/>
          <w:sz w:val="26"/>
          <w:szCs w:val="26"/>
          <w:highlight w:val="none"/>
          <w:shd w:val="clear" w:color="auto" w:fill="auto"/>
        </w:rPr>
      </w:pPr>
      <w:r>
        <w:rPr>
          <w:b w:val="0"/>
          <w:i/>
          <w:iCs/>
          <w:sz w:val="26"/>
          <w:szCs w:val="26"/>
          <w:shd w:val="clear" w:color="auto" w:fill="auto"/>
        </w:rPr>
      </w:r>
      <w:r>
        <w:rPr>
          <w:b w:val="0"/>
          <w:i/>
          <w:iCs/>
          <w:sz w:val="26"/>
          <w:szCs w:val="26"/>
          <w:highlight w:val="none"/>
          <w:shd w:val="clear" w:color="auto" w:fill="auto"/>
        </w:rPr>
      </w:r>
    </w:p>
    <w:p>
      <w:pPr>
        <w:pStyle w:val="662"/>
        <w:tabs>
          <w:tab w:val="clear" w:pos="720" w:leader="none"/>
          <w:tab w:val="left" w:pos="2410" w:leader="none"/>
        </w:tabs>
        <w:rPr>
          <w:highlight w:val="none"/>
          <w:shd w:val="clear" w:color="auto" w:fill="auto"/>
        </w:rPr>
      </w:pPr>
      <w:r>
        <w:rPr>
          <w:b w:val="0"/>
          <w:iCs/>
          <w:sz w:val="26"/>
          <w:szCs w:val="26"/>
          <w:shd w:val="clear" w:color="auto" w:fill="auto"/>
        </w:rPr>
        <w:t xml:space="preserve">Температурный график работы теплосети</w:t>
      </w:r>
      <w:r>
        <w:rPr>
          <w:b w:val="0"/>
          <w:iCs/>
          <w:sz w:val="26"/>
          <w:szCs w:val="26"/>
          <w:shd w:val="clear" w:color="auto" w:fill="auto"/>
          <w:vertAlign w:val="superscript"/>
        </w:rPr>
        <w:t xml:space="preserve">2</w:t>
      </w:r>
      <w:r>
        <w:rPr>
          <w:highlight w:val="none"/>
          <w:shd w:val="clear" w:color="auto" w:fill="auto"/>
        </w:rPr>
      </w:r>
    </w:p>
    <w:p>
      <w:pPr>
        <w:pStyle w:val="617"/>
        <w:jc w:val="center"/>
        <w:rPr>
          <w:highlight w:val="none"/>
          <w:shd w:val="clear" w:color="auto" w:fill="auto"/>
        </w:rPr>
      </w:pPr>
      <w:r>
        <w:rPr>
          <w:bCs/>
          <w:sz w:val="26"/>
          <w:szCs w:val="26"/>
          <w:shd w:val="clear" w:color="auto" w:fill="auto"/>
        </w:rPr>
        <w:t xml:space="preserve">                                                                                                            </w:t>
      </w:r>
      <w:r>
        <w:rPr>
          <w:highlight w:val="none"/>
          <w:shd w:val="clear" w:color="auto" w:fill="auto"/>
        </w:rPr>
      </w:r>
    </w:p>
    <w:tbl>
      <w:tblPr>
        <w:tblW w:w="9852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84"/>
        <w:gridCol w:w="1924"/>
        <w:gridCol w:w="1360"/>
        <w:gridCol w:w="3176"/>
        <w:gridCol w:w="108"/>
      </w:tblGrid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Температура наружного воздуха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Температура сетевой воды в подающей магистрали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Температура сетевой воды в обратной магистрали</w:t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‍</w:t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‍</w:t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‍</w:t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‍</w:t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‍</w:t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/>
        <w:tblPrEx/>
        <w:tc>
          <w:tcPr>
            <w:tcW w:w="3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3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rPr>
          <w:trHeight w:val="1624"/>
        </w:trPr>
        <w:tblPrEx/>
        <w:tc>
          <w:tcPr>
            <w:tcW w:w="5208" w:type="dxa"/>
            <w:gridSpan w:val="2"/>
            <w:noWrap w:val="false"/>
            <w:textDirection w:val="lrTb"/>
          </w:tcPr>
          <w:p>
            <w:pPr>
              <w:pStyle w:val="617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Теплоснабжающая организация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sz w:val="26"/>
                <w:szCs w:val="26"/>
                <w:shd w:val="clear" w:color="auto" w:fill="auto"/>
              </w:rPr>
              <w:t xml:space="preserve">_____________________ /ФИО/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617"/>
              <w:rPr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sz w:val="26"/>
                <w:szCs w:val="26"/>
                <w:shd w:val="clear" w:color="auto" w:fill="auto"/>
              </w:rPr>
            </w:r>
            <w:r>
              <w:rPr>
                <w:sz w:val="26"/>
                <w:szCs w:val="26"/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sz w:val="26"/>
                <w:szCs w:val="26"/>
                <w:shd w:val="clear" w:color="auto" w:fill="auto"/>
              </w:rPr>
            </w:r>
            <w:r>
              <w:rPr>
                <w:sz w:val="26"/>
                <w:szCs w:val="26"/>
                <w:highlight w:val="none"/>
                <w:shd w:val="clear" w:color="auto" w:fill="auto"/>
              </w:rPr>
            </w:r>
          </w:p>
        </w:tc>
        <w:tc>
          <w:tcPr>
            <w:tcW w:w="4536" w:type="dxa"/>
            <w:gridSpan w:val="2"/>
            <w:noWrap w:val="false"/>
            <w:textDirection w:val="lrTb"/>
          </w:tcPr>
          <w:p>
            <w:pPr>
              <w:pStyle w:val="617"/>
              <w:rPr>
                <w:bCs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</w:r>
            <w:r>
              <w:rPr>
                <w:bCs/>
                <w:sz w:val="26"/>
                <w:szCs w:val="26"/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Потребитель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sz w:val="26"/>
                <w:szCs w:val="26"/>
                <w:shd w:val="clear" w:color="auto" w:fill="auto"/>
              </w:rPr>
              <w:t xml:space="preserve">_____________________ /ФИО/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sz w:val="26"/>
                <w:szCs w:val="26"/>
                <w:shd w:val="clear" w:color="auto" w:fill="auto"/>
              </w:rPr>
              <w:t xml:space="preserve">М.П.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108" w:type="dxa"/>
            <w:noWrap w:val="false"/>
            <w:textDirection w:val="lrTb"/>
          </w:tcPr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617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17"/>
        <w:rPr>
          <w:highlight w:val="none"/>
          <w:shd w:val="clear" w:color="auto" w:fill="auto"/>
        </w:rPr>
      </w:pPr>
      <w:r>
        <w:rPr>
          <w:shd w:val="clear" w:color="auto" w:fill="auto"/>
        </w:rPr>
        <w:t xml:space="preserve">2 – допускается применение температурного графика в виде схемы, при условии возможности определения точного значения температуры сетевой воды в зависимости от температуры наружного воздуха</w:t>
      </w:r>
      <w:r>
        <w:rPr>
          <w:highlight w:val="none"/>
          <w:shd w:val="clear" w:color="auto" w:fill="auto"/>
        </w:rPr>
      </w:r>
    </w:p>
    <w:sectPr>
      <w:footnotePr/>
      <w:endnotePr/>
      <w:type w:val="nextPage"/>
      <w:pgSz w:w="11906" w:h="16838" w:orient="portrait"/>
      <w:pgMar w:top="1418" w:right="709" w:bottom="709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Tahoma">
    <w:panose1 w:val="020B0606030504020204"/>
  </w:font>
  <w:font w:name="Cambria">
    <w:panose1 w:val="02040503050406030204"/>
  </w:font>
  <w:font w:name="Arial">
    <w:panose1 w:val="020B0604020202020204"/>
  </w:font>
  <w:font w:name="Courier New">
    <w:panose1 w:val="020704090202050204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roid Sans Fallback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618">
    <w:name w:val="Heading 1"/>
    <w:basedOn w:val="61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uiPriority w:val="10"/>
    <w:qFormat/>
    <w:rPr>
      <w:sz w:val="48"/>
      <w:szCs w:val="48"/>
    </w:rPr>
  </w:style>
  <w:style w:type="character" w:styleId="637">
    <w:name w:val="Subtitle Char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uiPriority w:val="99"/>
    <w:qFormat/>
  </w:style>
  <w:style w:type="character" w:styleId="641">
    <w:name w:val="Footer Char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>
    <w:name w:val="Основной шрифт абзаца"/>
    <w:uiPriority w:val="99"/>
    <w:semiHidden/>
    <w:qFormat/>
  </w:style>
  <w:style w:type="character" w:styleId="651">
    <w:name w:val="Название Знак"/>
    <w:uiPriority w:val="10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652">
    <w:name w:val="Основной текст Знак"/>
    <w:uiPriority w:val="99"/>
    <w:semiHidden/>
    <w:qFormat/>
    <w:rPr>
      <w:rFonts w:cs="Times New Roman"/>
      <w:sz w:val="20"/>
      <w:szCs w:val="20"/>
    </w:rPr>
  </w:style>
  <w:style w:type="character" w:styleId="653">
    <w:name w:val="Текст Знак"/>
    <w:uiPriority w:val="99"/>
    <w:semiHidden/>
    <w:qFormat/>
    <w:rPr>
      <w:rFonts w:ascii="Courier New" w:hAnsi="Courier New" w:cs="Courier New"/>
      <w:sz w:val="20"/>
      <w:szCs w:val="20"/>
    </w:rPr>
  </w:style>
  <w:style w:type="character" w:styleId="654">
    <w:name w:val="Верхний колонтитул Знак"/>
    <w:uiPriority w:val="99"/>
    <w:semiHidden/>
    <w:qFormat/>
    <w:rPr>
      <w:rFonts w:cs="Times New Roman"/>
      <w:sz w:val="20"/>
      <w:szCs w:val="20"/>
    </w:rPr>
  </w:style>
  <w:style w:type="character" w:styleId="655">
    <w:name w:val="Нижний колонтитул Знак"/>
    <w:uiPriority w:val="99"/>
    <w:semiHidden/>
    <w:qFormat/>
    <w:rPr>
      <w:rFonts w:cs="Times New Roman"/>
      <w:sz w:val="20"/>
      <w:szCs w:val="20"/>
    </w:rPr>
  </w:style>
  <w:style w:type="character" w:styleId="656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657" w:default="1">
    <w:name w:val="Default Paragraph Font"/>
    <w:uiPriority w:val="1"/>
    <w:semiHidden/>
    <w:unhideWhenUsed/>
    <w:qFormat/>
  </w:style>
  <w:style w:type="character" w:styleId="658">
    <w:name w:val="Line Number"/>
  </w:style>
  <w:style w:type="paragraph" w:styleId="659">
    <w:name w:val="Заголовок"/>
    <w:basedOn w:val="617"/>
    <w:next w:val="660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660">
    <w:name w:val="Body Text"/>
    <w:basedOn w:val="617"/>
    <w:uiPriority w:val="99"/>
    <w:rPr>
      <w:sz w:val="22"/>
      <w:szCs w:val="22"/>
    </w:rPr>
  </w:style>
  <w:style w:type="paragraph" w:styleId="661">
    <w:name w:val="List"/>
    <w:basedOn w:val="660"/>
    <w:rPr>
      <w:rFonts w:cs="Lohit Devanagari"/>
    </w:rPr>
  </w:style>
  <w:style w:type="paragraph" w:styleId="662">
    <w:name w:val="Caption"/>
    <w:basedOn w:val="617"/>
    <w:uiPriority w:val="99"/>
    <w:qFormat/>
    <w:pPr>
      <w:jc w:val="center"/>
    </w:pPr>
    <w:rPr>
      <w:b/>
      <w:bCs/>
      <w:sz w:val="22"/>
      <w:szCs w:val="22"/>
    </w:rPr>
  </w:style>
  <w:style w:type="paragraph" w:styleId="663">
    <w:name w:val="Указатель"/>
    <w:basedOn w:val="617"/>
    <w:qFormat/>
    <w:pPr>
      <w:suppressLineNumbers/>
    </w:pPr>
    <w:rPr>
      <w:rFonts w:cs="Lohit Devanagari"/>
    </w:rPr>
  </w:style>
  <w:style w:type="paragraph" w:styleId="664">
    <w:name w:val="List Paragraph"/>
    <w:basedOn w:val="617"/>
    <w:uiPriority w:val="34"/>
    <w:qFormat/>
    <w:pPr>
      <w:spacing w:before="0" w:after="0"/>
      <w:ind w:left="720"/>
      <w:contextualSpacing/>
    </w:pPr>
  </w:style>
  <w:style w:type="paragraph" w:styleId="665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66">
    <w:name w:val="Title"/>
    <w:basedOn w:val="61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7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68">
    <w:name w:val="Quote"/>
    <w:basedOn w:val="617"/>
    <w:uiPriority w:val="29"/>
    <w:qFormat/>
    <w:pPr>
      <w:ind w:left="720" w:right="720"/>
    </w:pPr>
    <w:rPr>
      <w:i/>
    </w:rPr>
  </w:style>
  <w:style w:type="paragraph" w:styleId="669">
    <w:name w:val="Intense Quote"/>
    <w:basedOn w:val="61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670">
    <w:name w:val="Колонтитул"/>
    <w:basedOn w:val="617"/>
    <w:qFormat/>
  </w:style>
  <w:style w:type="paragraph" w:styleId="671">
    <w:name w:val="Header"/>
    <w:basedOn w:val="617"/>
    <w:uiPriority w:val="99"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672">
    <w:name w:val="Footer"/>
    <w:basedOn w:val="617"/>
    <w:uiPriority w:val="99"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673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4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5">
    <w:name w:val="toc 1"/>
    <w:basedOn w:val="617"/>
    <w:uiPriority w:val="39"/>
    <w:unhideWhenUsed/>
    <w:pPr>
      <w:spacing w:before="0" w:after="57"/>
      <w:ind w:left="0" w:right="0" w:firstLine="0"/>
    </w:pPr>
  </w:style>
  <w:style w:type="paragraph" w:styleId="676">
    <w:name w:val="toc 2"/>
    <w:basedOn w:val="617"/>
    <w:uiPriority w:val="39"/>
    <w:unhideWhenUsed/>
    <w:pPr>
      <w:spacing w:before="0" w:after="57"/>
      <w:ind w:left="283" w:right="0" w:firstLine="0"/>
    </w:pPr>
  </w:style>
  <w:style w:type="paragraph" w:styleId="677">
    <w:name w:val="toc 3"/>
    <w:basedOn w:val="617"/>
    <w:uiPriority w:val="39"/>
    <w:unhideWhenUsed/>
    <w:pPr>
      <w:spacing w:before="0" w:after="57"/>
      <w:ind w:left="567" w:right="0" w:firstLine="0"/>
    </w:pPr>
  </w:style>
  <w:style w:type="paragraph" w:styleId="678">
    <w:name w:val="toc 4"/>
    <w:basedOn w:val="617"/>
    <w:uiPriority w:val="39"/>
    <w:unhideWhenUsed/>
    <w:pPr>
      <w:spacing w:before="0" w:after="57"/>
      <w:ind w:left="850" w:right="0" w:firstLine="0"/>
    </w:pPr>
  </w:style>
  <w:style w:type="paragraph" w:styleId="679">
    <w:name w:val="toc 5"/>
    <w:basedOn w:val="617"/>
    <w:uiPriority w:val="39"/>
    <w:unhideWhenUsed/>
    <w:pPr>
      <w:spacing w:before="0" w:after="57"/>
      <w:ind w:left="1134" w:right="0" w:firstLine="0"/>
    </w:pPr>
  </w:style>
  <w:style w:type="paragraph" w:styleId="680">
    <w:name w:val="toc 6"/>
    <w:basedOn w:val="617"/>
    <w:uiPriority w:val="39"/>
    <w:unhideWhenUsed/>
    <w:pPr>
      <w:spacing w:before="0" w:after="57"/>
      <w:ind w:left="1417" w:right="0" w:firstLine="0"/>
    </w:pPr>
  </w:style>
  <w:style w:type="paragraph" w:styleId="681">
    <w:name w:val="toc 7"/>
    <w:basedOn w:val="617"/>
    <w:uiPriority w:val="39"/>
    <w:unhideWhenUsed/>
    <w:pPr>
      <w:spacing w:before="0" w:after="57"/>
      <w:ind w:left="1701" w:right="0" w:firstLine="0"/>
    </w:pPr>
  </w:style>
  <w:style w:type="paragraph" w:styleId="682">
    <w:name w:val="toc 8"/>
    <w:basedOn w:val="617"/>
    <w:uiPriority w:val="39"/>
    <w:unhideWhenUsed/>
    <w:pPr>
      <w:spacing w:before="0" w:after="57"/>
      <w:ind w:left="1984" w:right="0" w:firstLine="0"/>
    </w:pPr>
  </w:style>
  <w:style w:type="paragraph" w:styleId="683">
    <w:name w:val="toc 9"/>
    <w:basedOn w:val="617"/>
    <w:uiPriority w:val="39"/>
    <w:unhideWhenUsed/>
    <w:pPr>
      <w:spacing w:before="0" w:after="57"/>
      <w:ind w:left="2268" w:right="0" w:firstLine="0"/>
    </w:pPr>
  </w:style>
  <w:style w:type="paragraph" w:styleId="684">
    <w:name w:val="Index Heading"/>
    <w:basedOn w:val="659"/>
  </w:style>
  <w:style w:type="paragraph" w:styleId="685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86">
    <w:name w:val="table of figures"/>
    <w:basedOn w:val="617"/>
    <w:uiPriority w:val="99"/>
    <w:unhideWhenUsed/>
    <w:pPr>
      <w:spacing w:before="0" w:after="0" w:afterAutospacing="0"/>
    </w:pPr>
  </w:style>
  <w:style w:type="paragraph" w:styleId="687">
    <w:name w:val="Текст"/>
    <w:basedOn w:val="617"/>
    <w:uiPriority w:val="99"/>
    <w:qFormat/>
    <w:rPr>
      <w:rFonts w:ascii="Courier New" w:hAnsi="Courier New" w:cs="Courier New"/>
    </w:rPr>
  </w:style>
  <w:style w:type="paragraph" w:styleId="688">
    <w:name w:val="Текст выноски"/>
    <w:basedOn w:val="617"/>
    <w:uiPriority w:val="99"/>
    <w:semiHidden/>
    <w:qFormat/>
    <w:rPr>
      <w:rFonts w:ascii="Tahoma" w:hAnsi="Tahoma" w:cs="Tahoma"/>
      <w:sz w:val="16"/>
      <w:szCs w:val="16"/>
    </w:rPr>
  </w:style>
  <w:style w:type="paragraph" w:styleId="689">
    <w:name w:val="Содержимое таблицы"/>
    <w:basedOn w:val="617"/>
    <w:qFormat/>
    <w:pPr>
      <w:widowControl w:val="off"/>
      <w:suppressLineNumbers/>
    </w:pPr>
  </w:style>
  <w:style w:type="paragraph" w:styleId="690">
    <w:name w:val="Заголовок таблицы"/>
    <w:basedOn w:val="689"/>
    <w:qFormat/>
    <w:pPr>
      <w:suppressLineNumbers/>
      <w:jc w:val="center"/>
    </w:pPr>
    <w:rPr>
      <w:b/>
      <w:bCs/>
    </w:rPr>
  </w:style>
  <w:style w:type="numbering" w:styleId="691">
    <w:name w:val="Нет списка"/>
    <w:uiPriority w:val="99"/>
    <w:semiHidden/>
    <w:unhideWhenUsed/>
    <w:qFormat/>
  </w:style>
  <w:style w:type="numbering" w:styleId="692" w:default="1">
    <w:name w:val="No List"/>
    <w:uiPriority w:val="99"/>
    <w:semiHidden/>
    <w:unhideWhenUsed/>
    <w:qFormat/>
  </w:style>
  <w:style w:type="table" w:styleId="181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Energosbyt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mavrina</dc:creator>
  <dc:description/>
  <dc:language>ru-RU</dc:language>
  <cp:revision>7</cp:revision>
  <dcterms:created xsi:type="dcterms:W3CDTF">2021-07-21T08:39:00Z</dcterms:created>
  <dcterms:modified xsi:type="dcterms:W3CDTF">2025-09-15T13:18:07Z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